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833E"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1A98EA0C"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72D7C38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7578009"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30.04.2025</w:t>
            </w:r>
          </w:p>
        </w:tc>
      </w:tr>
      <w:tr w:rsidR="00000000" w14:paraId="44922FBB"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5A748EAC"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5D7514A9"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373DEB35"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000000" w14:paraId="642404FC" w14:textId="77777777">
        <w:tblPrEx>
          <w:tblCellMar>
            <w:top w:w="0" w:type="dxa"/>
            <w:bottom w:w="0" w:type="dxa"/>
          </w:tblCellMar>
        </w:tblPrEx>
        <w:trPr>
          <w:trHeight w:val="300"/>
        </w:trPr>
        <w:tc>
          <w:tcPr>
            <w:tcW w:w="5230" w:type="dxa"/>
            <w:tcBorders>
              <w:top w:val="nil"/>
              <w:left w:val="nil"/>
              <w:bottom w:val="nil"/>
              <w:right w:val="nil"/>
            </w:tcBorders>
            <w:vAlign w:val="bottom"/>
          </w:tcPr>
          <w:p w14:paraId="6FA69160"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54E03427" w14:textId="77777777" w:rsidR="00000000" w:rsidRDefault="00E8465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2E1537E0" w14:textId="77777777">
        <w:tblPrEx>
          <w:tblCellMar>
            <w:top w:w="0" w:type="dxa"/>
            <w:bottom w:w="0" w:type="dxa"/>
          </w:tblCellMar>
        </w:tblPrEx>
        <w:trPr>
          <w:trHeight w:val="300"/>
        </w:trPr>
        <w:tc>
          <w:tcPr>
            <w:tcW w:w="10465" w:type="dxa"/>
            <w:tcBorders>
              <w:top w:val="nil"/>
              <w:left w:val="nil"/>
              <w:bottom w:val="nil"/>
              <w:right w:val="nil"/>
            </w:tcBorders>
            <w:vAlign w:val="bottom"/>
          </w:tcPr>
          <w:p w14:paraId="383D98A1"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7F0D489D"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35E0DFB"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3BA7B0BD"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2B340652"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05E35275"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7CDEFDBC"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11B90E16"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Петришин </w:t>
            </w:r>
            <w:proofErr w:type="spellStart"/>
            <w:r>
              <w:rPr>
                <w:rFonts w:ascii="Times New Roman" w:hAnsi="Times New Roman" w:cs="Times New Roman"/>
                <w:sz w:val="24"/>
                <w:szCs w:val="24"/>
              </w:rPr>
              <w:t>Рослав</w:t>
            </w:r>
            <w:proofErr w:type="spellEnd"/>
            <w:r>
              <w:rPr>
                <w:rFonts w:ascii="Times New Roman" w:hAnsi="Times New Roman" w:cs="Times New Roman"/>
                <w:sz w:val="24"/>
                <w:szCs w:val="24"/>
              </w:rPr>
              <w:t xml:space="preserve"> Михайлович</w:t>
            </w:r>
          </w:p>
        </w:tc>
      </w:tr>
      <w:tr w:rsidR="00000000" w14:paraId="24B47164" w14:textId="77777777">
        <w:tblPrEx>
          <w:tblCellMar>
            <w:top w:w="0" w:type="dxa"/>
            <w:bottom w:w="0" w:type="dxa"/>
          </w:tblCellMar>
        </w:tblPrEx>
        <w:trPr>
          <w:trHeight w:val="200"/>
        </w:trPr>
        <w:tc>
          <w:tcPr>
            <w:tcW w:w="3415" w:type="dxa"/>
            <w:tcBorders>
              <w:top w:val="nil"/>
              <w:left w:val="nil"/>
              <w:bottom w:val="nil"/>
              <w:right w:val="nil"/>
            </w:tcBorders>
          </w:tcPr>
          <w:p w14:paraId="4A4AFB33"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3993A307"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6FE212AA"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4EF2FCC4"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5AD7D287"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w:t>
            </w:r>
            <w:r>
              <w:rPr>
                <w:rFonts w:ascii="Times New Roman" w:hAnsi="Times New Roman" w:cs="Times New Roman"/>
                <w:sz w:val="20"/>
                <w:szCs w:val="20"/>
              </w:rPr>
              <w:t>соби емітента)</w:t>
            </w:r>
          </w:p>
        </w:tc>
      </w:tr>
    </w:tbl>
    <w:p w14:paraId="396ED5D5" w14:textId="77777777" w:rsidR="00000000" w:rsidRDefault="00E8465A">
      <w:pPr>
        <w:widowControl w:val="0"/>
        <w:autoSpaceDE w:val="0"/>
        <w:autoSpaceDN w:val="0"/>
        <w:adjustRightInd w:val="0"/>
        <w:spacing w:after="0" w:line="240" w:lineRule="auto"/>
        <w:rPr>
          <w:rFonts w:ascii="Times New Roman" w:hAnsi="Times New Roman" w:cs="Times New Roman"/>
          <w:sz w:val="20"/>
          <w:szCs w:val="20"/>
        </w:rPr>
      </w:pPr>
    </w:p>
    <w:p w14:paraId="6C0E1150"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72BB0818" w14:textId="77777777" w:rsidR="00000000" w:rsidRDefault="00E8465A">
      <w:pPr>
        <w:widowControl w:val="0"/>
        <w:autoSpaceDE w:val="0"/>
        <w:autoSpaceDN w:val="0"/>
        <w:adjustRightInd w:val="0"/>
        <w:spacing w:after="0" w:line="240" w:lineRule="auto"/>
        <w:rPr>
          <w:rFonts w:ascii="Times New Roman" w:hAnsi="Times New Roman" w:cs="Times New Roman"/>
          <w:b/>
          <w:bCs/>
          <w:sz w:val="28"/>
          <w:szCs w:val="28"/>
        </w:rPr>
      </w:pPr>
    </w:p>
    <w:p w14:paraId="0C327F6D"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084F3212" w14:textId="77777777" w:rsidR="00000000" w:rsidRDefault="00E8465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Акціонерне товариство «</w:t>
      </w:r>
      <w:proofErr w:type="spellStart"/>
      <w:r>
        <w:rPr>
          <w:rFonts w:ascii="Times New Roman" w:hAnsi="Times New Roman" w:cs="Times New Roman"/>
          <w:sz w:val="24"/>
          <w:szCs w:val="24"/>
        </w:rPr>
        <w:t>Сарнифармація</w:t>
      </w:r>
      <w:proofErr w:type="spellEnd"/>
      <w:r>
        <w:rPr>
          <w:rFonts w:ascii="Times New Roman" w:hAnsi="Times New Roman" w:cs="Times New Roman"/>
          <w:sz w:val="24"/>
          <w:szCs w:val="24"/>
        </w:rPr>
        <w:t>»</w:t>
      </w:r>
    </w:p>
    <w:p w14:paraId="61409C3A"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06B6460C"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Місцезнаходження: 34500, Рівненська обл., м. </w:t>
      </w:r>
      <w:proofErr w:type="spellStart"/>
      <w:r>
        <w:rPr>
          <w:rFonts w:ascii="Times New Roman" w:hAnsi="Times New Roman" w:cs="Times New Roman"/>
          <w:sz w:val="24"/>
          <w:szCs w:val="24"/>
        </w:rPr>
        <w:t>Сарни</w:t>
      </w:r>
      <w:proofErr w:type="spellEnd"/>
      <w:r>
        <w:rPr>
          <w:rFonts w:ascii="Times New Roman" w:hAnsi="Times New Roman" w:cs="Times New Roman"/>
          <w:sz w:val="24"/>
          <w:szCs w:val="24"/>
        </w:rPr>
        <w:t>, вул. Я. Мудрого, 5</w:t>
      </w:r>
    </w:p>
    <w:p w14:paraId="19AA0032"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01979256</w:t>
      </w:r>
    </w:p>
    <w:p w14:paraId="29D63CBB"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(03655) 3-27-75</w:t>
      </w:r>
    </w:p>
    <w:p w14:paraId="1AE49F1D"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w:t>
      </w:r>
      <w:r>
        <w:rPr>
          <w:rFonts w:ascii="Times New Roman" w:hAnsi="Times New Roman" w:cs="Times New Roman"/>
          <w:sz w:val="24"/>
          <w:szCs w:val="24"/>
        </w:rPr>
        <w:t xml:space="preserve">онної пошти, яка є офіційним каналом зв’язку: sarnyfarm@ukr.net </w:t>
      </w:r>
    </w:p>
    <w:p w14:paraId="4FB8D275"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w:t>
      </w:r>
      <w:r>
        <w:rPr>
          <w:rFonts w:ascii="Times New Roman" w:hAnsi="Times New Roman" w:cs="Times New Roman"/>
          <w:sz w:val="24"/>
          <w:szCs w:val="24"/>
        </w:rPr>
        <w:t xml:space="preserve">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006EB1D1"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Повне </w:t>
      </w:r>
      <w:r>
        <w:rPr>
          <w:rFonts w:ascii="Times New Roman" w:hAnsi="Times New Roman" w:cs="Times New Roman"/>
          <w:sz w:val="24"/>
          <w:szCs w:val="24"/>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w:t>
      </w:r>
      <w:r>
        <w:rPr>
          <w:rFonts w:ascii="Times New Roman" w:hAnsi="Times New Roman" w:cs="Times New Roman"/>
          <w:sz w:val="24"/>
          <w:szCs w:val="24"/>
        </w:rPr>
        <w:t>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31A85433"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p>
    <w:p w14:paraId="21B307FD"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w:t>
      </w:r>
      <w:r>
        <w:rPr>
          <w:rFonts w:ascii="Times New Roman" w:hAnsi="Times New Roman" w:cs="Times New Roman"/>
          <w:b/>
          <w:bCs/>
          <w:sz w:val="24"/>
          <w:szCs w:val="24"/>
        </w:rPr>
        <w:t xml:space="preserve">прилюднення інформації </w:t>
      </w:r>
    </w:p>
    <w:p w14:paraId="6C46439F"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66402018" w14:textId="77777777">
        <w:tblPrEx>
          <w:tblCellMar>
            <w:top w:w="0" w:type="dxa"/>
            <w:bottom w:w="0" w:type="dxa"/>
          </w:tblCellMar>
        </w:tblPrEx>
        <w:trPr>
          <w:trHeight w:val="300"/>
        </w:trPr>
        <w:tc>
          <w:tcPr>
            <w:tcW w:w="3415" w:type="dxa"/>
            <w:vMerge w:val="restart"/>
            <w:tcBorders>
              <w:top w:val="nil"/>
              <w:left w:val="nil"/>
              <w:bottom w:val="nil"/>
              <w:right w:val="nil"/>
            </w:tcBorders>
          </w:tcPr>
          <w:p w14:paraId="5E9D10A0" w14:textId="77777777" w:rsidR="00000000" w:rsidRDefault="00E8465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Інформація розміщена на власному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емітента</w:t>
            </w:r>
          </w:p>
        </w:tc>
        <w:tc>
          <w:tcPr>
            <w:tcW w:w="5165" w:type="dxa"/>
            <w:tcBorders>
              <w:top w:val="nil"/>
              <w:left w:val="nil"/>
              <w:bottom w:val="single" w:sz="6" w:space="0" w:color="auto"/>
              <w:right w:val="nil"/>
            </w:tcBorders>
            <w:vAlign w:val="bottom"/>
          </w:tcPr>
          <w:p w14:paraId="4A93B4E6"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http://sarnyfarmaciya.pat.ua/documents/informaciya-dlya-akcioneriv-ta-steikholderiv</w:t>
            </w:r>
          </w:p>
        </w:tc>
        <w:tc>
          <w:tcPr>
            <w:tcW w:w="1885" w:type="dxa"/>
            <w:tcBorders>
              <w:top w:val="nil"/>
              <w:left w:val="nil"/>
              <w:bottom w:val="single" w:sz="6" w:space="0" w:color="auto"/>
              <w:right w:val="nil"/>
            </w:tcBorders>
            <w:vAlign w:val="bottom"/>
          </w:tcPr>
          <w:p w14:paraId="1F8FAF2D"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30.04.2025</w:t>
            </w:r>
          </w:p>
        </w:tc>
      </w:tr>
      <w:tr w:rsidR="00000000" w14:paraId="151B5E47" w14:textId="77777777">
        <w:tblPrEx>
          <w:tblCellMar>
            <w:top w:w="0" w:type="dxa"/>
            <w:bottom w:w="0" w:type="dxa"/>
          </w:tblCellMar>
        </w:tblPrEx>
        <w:trPr>
          <w:trHeight w:val="300"/>
        </w:trPr>
        <w:tc>
          <w:tcPr>
            <w:tcW w:w="3415" w:type="dxa"/>
            <w:vMerge/>
            <w:tcBorders>
              <w:top w:val="nil"/>
              <w:left w:val="nil"/>
              <w:bottom w:val="nil"/>
              <w:right w:val="nil"/>
            </w:tcBorders>
          </w:tcPr>
          <w:p w14:paraId="451C3540" w14:textId="77777777" w:rsidR="00000000" w:rsidRDefault="00E8465A">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6633ADBE"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w:t>
            </w:r>
          </w:p>
        </w:tc>
        <w:tc>
          <w:tcPr>
            <w:tcW w:w="1885" w:type="dxa"/>
            <w:tcBorders>
              <w:top w:val="nil"/>
              <w:left w:val="nil"/>
              <w:bottom w:val="nil"/>
              <w:right w:val="nil"/>
            </w:tcBorders>
            <w:vAlign w:val="bottom"/>
          </w:tcPr>
          <w:p w14:paraId="679D3587"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55FC824A" w14:textId="77777777" w:rsidR="00000000" w:rsidRDefault="00E8465A">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531F2913"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6D778FB9"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прийняття рішення про виплату дивідендів</w:t>
      </w:r>
    </w:p>
    <w:p w14:paraId="1ED19389"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500"/>
        <w:gridCol w:w="2000"/>
        <w:gridCol w:w="2000"/>
        <w:gridCol w:w="2000"/>
        <w:gridCol w:w="2465"/>
      </w:tblGrid>
      <w:tr w:rsidR="00000000" w14:paraId="13F3E9D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915B4D3"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з/п</w:t>
            </w:r>
          </w:p>
        </w:tc>
        <w:tc>
          <w:tcPr>
            <w:tcW w:w="1500" w:type="dxa"/>
            <w:tcBorders>
              <w:top w:val="single" w:sz="6" w:space="0" w:color="auto"/>
              <w:left w:val="single" w:sz="6" w:space="0" w:color="auto"/>
              <w:bottom w:val="single" w:sz="6" w:space="0" w:color="auto"/>
              <w:right w:val="single" w:sz="6" w:space="0" w:color="auto"/>
            </w:tcBorders>
            <w:vAlign w:val="center"/>
          </w:tcPr>
          <w:p w14:paraId="00C6FC7D"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Дата вчинення дії</w:t>
            </w:r>
          </w:p>
        </w:tc>
        <w:tc>
          <w:tcPr>
            <w:tcW w:w="2000" w:type="dxa"/>
            <w:tcBorders>
              <w:top w:val="single" w:sz="6" w:space="0" w:color="auto"/>
              <w:left w:val="single" w:sz="6" w:space="0" w:color="auto"/>
              <w:bottom w:val="single" w:sz="6" w:space="0" w:color="auto"/>
              <w:right w:val="single" w:sz="6" w:space="0" w:color="auto"/>
            </w:tcBorders>
            <w:vAlign w:val="center"/>
          </w:tcPr>
          <w:p w14:paraId="6CD10839"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Розмір дивідендів, що підлягають виплаті, грн</w:t>
            </w:r>
          </w:p>
        </w:tc>
        <w:tc>
          <w:tcPr>
            <w:tcW w:w="2000" w:type="dxa"/>
            <w:tcBorders>
              <w:top w:val="single" w:sz="6" w:space="0" w:color="auto"/>
              <w:left w:val="single" w:sz="6" w:space="0" w:color="auto"/>
              <w:bottom w:val="single" w:sz="6" w:space="0" w:color="auto"/>
              <w:right w:val="single" w:sz="6" w:space="0" w:color="auto"/>
            </w:tcBorders>
            <w:vAlign w:val="center"/>
          </w:tcPr>
          <w:p w14:paraId="2A35511F"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Розмір дивідендів на одну акцію, грн</w:t>
            </w:r>
          </w:p>
        </w:tc>
        <w:tc>
          <w:tcPr>
            <w:tcW w:w="2000" w:type="dxa"/>
            <w:tcBorders>
              <w:top w:val="single" w:sz="6" w:space="0" w:color="auto"/>
              <w:left w:val="single" w:sz="6" w:space="0" w:color="auto"/>
              <w:bottom w:val="single" w:sz="6" w:space="0" w:color="auto"/>
              <w:right w:val="single" w:sz="6" w:space="0" w:color="auto"/>
            </w:tcBorders>
            <w:vAlign w:val="center"/>
          </w:tcPr>
          <w:p w14:paraId="5A75CC2E" w14:textId="77777777" w:rsidR="00000000" w:rsidRDefault="00E8465A">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Строк виплати дивідендів</w:t>
            </w:r>
          </w:p>
        </w:tc>
        <w:tc>
          <w:tcPr>
            <w:tcW w:w="2465" w:type="dxa"/>
            <w:tcBorders>
              <w:top w:val="single" w:sz="6" w:space="0" w:color="auto"/>
              <w:left w:val="single" w:sz="6" w:space="0" w:color="auto"/>
              <w:bottom w:val="single" w:sz="6" w:space="0" w:color="auto"/>
            </w:tcBorders>
            <w:vAlign w:val="center"/>
          </w:tcPr>
          <w:p w14:paraId="7426EA35"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Спосіб виплати дивідендів</w:t>
            </w:r>
          </w:p>
        </w:tc>
      </w:tr>
      <w:tr w:rsidR="00000000" w14:paraId="2FD28B2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F5FB1CF"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vAlign w:val="center"/>
          </w:tcPr>
          <w:p w14:paraId="6535029A"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14:paraId="3DB1B4D3"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14:paraId="6572C530"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14:paraId="7F03A7A9"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465" w:type="dxa"/>
            <w:tcBorders>
              <w:top w:val="single" w:sz="6" w:space="0" w:color="auto"/>
              <w:left w:val="single" w:sz="6" w:space="0" w:color="auto"/>
              <w:bottom w:val="single" w:sz="6" w:space="0" w:color="auto"/>
            </w:tcBorders>
            <w:vAlign w:val="center"/>
          </w:tcPr>
          <w:p w14:paraId="4A440DCF"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000000" w14:paraId="73998D7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3B311F8D"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500" w:type="dxa"/>
            <w:tcBorders>
              <w:top w:val="single" w:sz="6" w:space="0" w:color="auto"/>
              <w:left w:val="single" w:sz="6" w:space="0" w:color="auto"/>
              <w:bottom w:val="single" w:sz="6" w:space="0" w:color="auto"/>
              <w:right w:val="single" w:sz="6" w:space="0" w:color="auto"/>
            </w:tcBorders>
          </w:tcPr>
          <w:p w14:paraId="66942988"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30.04.2025</w:t>
            </w:r>
          </w:p>
        </w:tc>
        <w:tc>
          <w:tcPr>
            <w:tcW w:w="2000" w:type="dxa"/>
            <w:tcBorders>
              <w:top w:val="single" w:sz="6" w:space="0" w:color="auto"/>
              <w:left w:val="single" w:sz="6" w:space="0" w:color="auto"/>
              <w:bottom w:val="single" w:sz="6" w:space="0" w:color="auto"/>
              <w:right w:val="single" w:sz="6" w:space="0" w:color="auto"/>
            </w:tcBorders>
          </w:tcPr>
          <w:p w14:paraId="5D0A20EB"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63 000,00</w:t>
            </w:r>
          </w:p>
        </w:tc>
        <w:tc>
          <w:tcPr>
            <w:tcW w:w="2000" w:type="dxa"/>
            <w:tcBorders>
              <w:top w:val="single" w:sz="6" w:space="0" w:color="auto"/>
              <w:left w:val="single" w:sz="6" w:space="0" w:color="auto"/>
              <w:bottom w:val="single" w:sz="6" w:space="0" w:color="auto"/>
              <w:right w:val="single" w:sz="6" w:space="0" w:color="auto"/>
            </w:tcBorders>
          </w:tcPr>
          <w:p w14:paraId="689DC164"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0,09</w:t>
            </w:r>
          </w:p>
        </w:tc>
        <w:tc>
          <w:tcPr>
            <w:tcW w:w="2000" w:type="dxa"/>
            <w:tcBorders>
              <w:top w:val="single" w:sz="6" w:space="0" w:color="auto"/>
              <w:left w:val="single" w:sz="6" w:space="0" w:color="auto"/>
              <w:bottom w:val="single" w:sz="6" w:space="0" w:color="auto"/>
              <w:right w:val="single" w:sz="6" w:space="0" w:color="auto"/>
            </w:tcBorders>
          </w:tcPr>
          <w:p w14:paraId="07111A5C"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 25.04.2025 по 24.10.2025</w:t>
            </w:r>
          </w:p>
        </w:tc>
        <w:tc>
          <w:tcPr>
            <w:tcW w:w="2465" w:type="dxa"/>
            <w:tcBorders>
              <w:top w:val="single" w:sz="6" w:space="0" w:color="auto"/>
              <w:left w:val="single" w:sz="6" w:space="0" w:color="auto"/>
              <w:bottom w:val="single" w:sz="6" w:space="0" w:color="auto"/>
            </w:tcBorders>
          </w:tcPr>
          <w:p w14:paraId="362CE6A8" w14:textId="77777777" w:rsidR="00000000" w:rsidRDefault="00E8465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Безпосередньо акціонерам</w:t>
            </w:r>
          </w:p>
        </w:tc>
      </w:tr>
      <w:tr w:rsidR="00000000" w14:paraId="44791FDD" w14:textId="77777777">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14:paraId="64D46D7C" w14:textId="77777777" w:rsidR="00000000" w:rsidRDefault="00E8465A">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1440C467" w14:textId="77777777">
        <w:tblPrEx>
          <w:tblCellMar>
            <w:top w:w="0" w:type="dxa"/>
            <w:bottom w:w="0" w:type="dxa"/>
          </w:tblCellMar>
        </w:tblPrEx>
        <w:trPr>
          <w:trHeight w:val="300"/>
        </w:trPr>
        <w:tc>
          <w:tcPr>
            <w:tcW w:w="10465" w:type="dxa"/>
            <w:gridSpan w:val="6"/>
            <w:tcBorders>
              <w:top w:val="single" w:sz="6" w:space="0" w:color="auto"/>
              <w:bottom w:val="single" w:sz="6" w:space="0" w:color="auto"/>
            </w:tcBorders>
            <w:vAlign w:val="center"/>
          </w:tcPr>
          <w:p w14:paraId="75C837C0" w14:textId="77777777"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30.04.2025 р.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отримало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ПАТ "НДУ" результати голосування на дистанційних річних загальних зборах акціонерів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на </w:t>
            </w:r>
            <w:proofErr w:type="spellStart"/>
            <w:r>
              <w:rPr>
                <w:rFonts w:ascii="Times New Roman" w:hAnsi="Times New Roman" w:cs="Times New Roman"/>
                <w:sz w:val="20"/>
                <w:szCs w:val="20"/>
              </w:rPr>
              <w:t>пiдставi</w:t>
            </w:r>
            <w:proofErr w:type="spellEnd"/>
            <w:r>
              <w:rPr>
                <w:rFonts w:ascii="Times New Roman" w:hAnsi="Times New Roman" w:cs="Times New Roman"/>
                <w:sz w:val="20"/>
                <w:szCs w:val="20"/>
              </w:rPr>
              <w:t xml:space="preserve"> яких був складений протокол річних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акцiонерiв</w:t>
            </w:r>
            <w:proofErr w:type="spellEnd"/>
            <w:r>
              <w:rPr>
                <w:rFonts w:ascii="Times New Roman" w:hAnsi="Times New Roman" w:cs="Times New Roman"/>
                <w:sz w:val="20"/>
                <w:szCs w:val="20"/>
              </w:rPr>
              <w:t xml:space="preserve">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25.04.2025 р</w:t>
            </w:r>
            <w:r>
              <w:rPr>
                <w:rFonts w:ascii="Times New Roman" w:hAnsi="Times New Roman" w:cs="Times New Roman"/>
                <w:sz w:val="20"/>
                <w:szCs w:val="20"/>
              </w:rPr>
              <w:t xml:space="preserve">.),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вiдбулися</w:t>
            </w:r>
            <w:proofErr w:type="spellEnd"/>
            <w:r>
              <w:rPr>
                <w:rFonts w:ascii="Times New Roman" w:hAnsi="Times New Roman" w:cs="Times New Roman"/>
                <w:sz w:val="20"/>
                <w:szCs w:val="20"/>
              </w:rPr>
              <w:t xml:space="preserve"> 25.04.2025 р. Загальними зборами акціонерів  (Протокол № 1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25.04.2025 р.) було прийняте рішення про виплату дивідендів за 2024 рік.</w:t>
            </w:r>
          </w:p>
          <w:p w14:paraId="1D0FB21E" w14:textId="77777777"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30.04.2025 року Наглядовою радою АТ "</w:t>
            </w:r>
            <w:proofErr w:type="spellStart"/>
            <w:r>
              <w:rPr>
                <w:rFonts w:ascii="Times New Roman" w:hAnsi="Times New Roman" w:cs="Times New Roman"/>
                <w:sz w:val="20"/>
                <w:szCs w:val="20"/>
              </w:rPr>
              <w:t>Сарнифармація</w:t>
            </w:r>
            <w:proofErr w:type="spellEnd"/>
            <w:r>
              <w:rPr>
                <w:rFonts w:ascii="Times New Roman" w:hAnsi="Times New Roman" w:cs="Times New Roman"/>
                <w:sz w:val="20"/>
                <w:szCs w:val="20"/>
              </w:rPr>
              <w:t xml:space="preserve">" (Протокол № 4  </w:t>
            </w:r>
            <w:proofErr w:type="spellStart"/>
            <w:r>
              <w:rPr>
                <w:rFonts w:ascii="Times New Roman" w:hAnsi="Times New Roman" w:cs="Times New Roman"/>
                <w:sz w:val="20"/>
                <w:szCs w:val="20"/>
              </w:rPr>
              <w:t>вiд</w:t>
            </w:r>
            <w:proofErr w:type="spellEnd"/>
            <w:r>
              <w:rPr>
                <w:rFonts w:ascii="Times New Roman" w:hAnsi="Times New Roman" w:cs="Times New Roman"/>
                <w:sz w:val="20"/>
                <w:szCs w:val="20"/>
              </w:rPr>
              <w:t xml:space="preserve"> 30.04.2025 р.)  прийнято </w:t>
            </w:r>
            <w:proofErr w:type="spellStart"/>
            <w:r>
              <w:rPr>
                <w:rFonts w:ascii="Times New Roman" w:hAnsi="Times New Roman" w:cs="Times New Roman"/>
                <w:sz w:val="20"/>
                <w:szCs w:val="20"/>
              </w:rPr>
              <w:t>рiшенн</w:t>
            </w:r>
            <w:r>
              <w:rPr>
                <w:rFonts w:ascii="Times New Roman" w:hAnsi="Times New Roman" w:cs="Times New Roman"/>
                <w:sz w:val="20"/>
                <w:szCs w:val="20"/>
              </w:rPr>
              <w:t>я</w:t>
            </w:r>
            <w:proofErr w:type="spellEnd"/>
            <w:r>
              <w:rPr>
                <w:rFonts w:ascii="Times New Roman" w:hAnsi="Times New Roman" w:cs="Times New Roman"/>
                <w:sz w:val="20"/>
                <w:szCs w:val="20"/>
              </w:rPr>
              <w:t xml:space="preserve"> про встановлення дати складення </w:t>
            </w:r>
            <w:proofErr w:type="spellStart"/>
            <w:r>
              <w:rPr>
                <w:rFonts w:ascii="Times New Roman" w:hAnsi="Times New Roman" w:cs="Times New Roman"/>
                <w:sz w:val="20"/>
                <w:szCs w:val="20"/>
              </w:rPr>
              <w:t>перелiку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осiб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мають право на отримання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за 2024 </w:t>
            </w:r>
            <w:proofErr w:type="spellStart"/>
            <w:r>
              <w:rPr>
                <w:rFonts w:ascii="Times New Roman" w:hAnsi="Times New Roman" w:cs="Times New Roman"/>
                <w:sz w:val="20"/>
                <w:szCs w:val="20"/>
              </w:rPr>
              <w:t>рiк</w:t>
            </w:r>
            <w:proofErr w:type="spellEnd"/>
            <w:r>
              <w:rPr>
                <w:rFonts w:ascii="Times New Roman" w:hAnsi="Times New Roman" w:cs="Times New Roman"/>
                <w:sz w:val="20"/>
                <w:szCs w:val="20"/>
              </w:rPr>
              <w:t>, порядок та строк їх виплати.</w:t>
            </w:r>
          </w:p>
          <w:p w14:paraId="7E30FBFE" w14:textId="77777777"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Дата складення </w:t>
            </w:r>
            <w:proofErr w:type="spellStart"/>
            <w:r>
              <w:rPr>
                <w:rFonts w:ascii="Times New Roman" w:hAnsi="Times New Roman" w:cs="Times New Roman"/>
                <w:sz w:val="20"/>
                <w:szCs w:val="20"/>
              </w:rPr>
              <w:t>перелiку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осiб</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якi</w:t>
            </w:r>
            <w:proofErr w:type="spellEnd"/>
            <w:r>
              <w:rPr>
                <w:rFonts w:ascii="Times New Roman" w:hAnsi="Times New Roman" w:cs="Times New Roman"/>
                <w:sz w:val="20"/>
                <w:szCs w:val="20"/>
              </w:rPr>
              <w:t xml:space="preserve"> мають право на отримання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визначена наглядовою радою - 16.05.2025 року.</w:t>
            </w:r>
          </w:p>
          <w:p w14:paraId="384029F9" w14:textId="77777777"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Розмiр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що </w:t>
            </w:r>
            <w:proofErr w:type="spellStart"/>
            <w:r>
              <w:rPr>
                <w:rFonts w:ascii="Times New Roman" w:hAnsi="Times New Roman" w:cs="Times New Roman"/>
                <w:sz w:val="20"/>
                <w:szCs w:val="20"/>
              </w:rPr>
              <w:t>пiдлягають</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виплатi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вiдповiдно</w:t>
            </w:r>
            <w:proofErr w:type="spellEnd"/>
            <w:r>
              <w:rPr>
                <w:rFonts w:ascii="Times New Roman" w:hAnsi="Times New Roman" w:cs="Times New Roman"/>
                <w:sz w:val="20"/>
                <w:szCs w:val="20"/>
              </w:rPr>
              <w:t xml:space="preserve"> до </w:t>
            </w:r>
            <w:proofErr w:type="spellStart"/>
            <w:r>
              <w:rPr>
                <w:rFonts w:ascii="Times New Roman" w:hAnsi="Times New Roman" w:cs="Times New Roman"/>
                <w:sz w:val="20"/>
                <w:szCs w:val="20"/>
              </w:rPr>
              <w:t>рiшення</w:t>
            </w:r>
            <w:proofErr w:type="spellEnd"/>
            <w:r>
              <w:rPr>
                <w:rFonts w:ascii="Times New Roman" w:hAnsi="Times New Roman" w:cs="Times New Roman"/>
                <w:sz w:val="20"/>
                <w:szCs w:val="20"/>
              </w:rPr>
              <w:t xml:space="preserve"> загальних </w:t>
            </w:r>
            <w:proofErr w:type="spellStart"/>
            <w:r>
              <w:rPr>
                <w:rFonts w:ascii="Times New Roman" w:hAnsi="Times New Roman" w:cs="Times New Roman"/>
                <w:sz w:val="20"/>
                <w:szCs w:val="20"/>
              </w:rPr>
              <w:t>зборiв</w:t>
            </w:r>
            <w:proofErr w:type="spellEnd"/>
            <w:r>
              <w:rPr>
                <w:rFonts w:ascii="Times New Roman" w:hAnsi="Times New Roman" w:cs="Times New Roman"/>
                <w:sz w:val="20"/>
                <w:szCs w:val="20"/>
              </w:rPr>
              <w:t xml:space="preserve"> - 63 000,00 грн. </w:t>
            </w:r>
          </w:p>
          <w:p w14:paraId="1097021D" w14:textId="09CFDA6B"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Розмiр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на одну </w:t>
            </w:r>
            <w:proofErr w:type="spellStart"/>
            <w:r>
              <w:rPr>
                <w:rFonts w:ascii="Times New Roman" w:hAnsi="Times New Roman" w:cs="Times New Roman"/>
                <w:sz w:val="20"/>
                <w:szCs w:val="20"/>
              </w:rPr>
              <w:t>акцiю</w:t>
            </w:r>
            <w:proofErr w:type="spellEnd"/>
            <w:r>
              <w:rPr>
                <w:rFonts w:ascii="Times New Roman" w:hAnsi="Times New Roman" w:cs="Times New Roman"/>
                <w:sz w:val="20"/>
                <w:szCs w:val="20"/>
              </w:rPr>
              <w:t xml:space="preserve"> - 0,089 грн. (в таблиці зазначена сума 0,</w:t>
            </w:r>
            <w:r>
              <w:rPr>
                <w:rFonts w:ascii="Times New Roman" w:hAnsi="Times New Roman" w:cs="Times New Roman"/>
                <w:sz w:val="20"/>
                <w:szCs w:val="20"/>
              </w:rPr>
              <w:t>0</w:t>
            </w:r>
            <w:r w:rsidR="005C45D0">
              <w:rPr>
                <w:rFonts w:ascii="Times New Roman" w:hAnsi="Times New Roman" w:cs="Times New Roman"/>
                <w:sz w:val="20"/>
                <w:szCs w:val="20"/>
              </w:rPr>
              <w:t>9</w:t>
            </w:r>
            <w:r>
              <w:rPr>
                <w:rFonts w:ascii="Times New Roman" w:hAnsi="Times New Roman" w:cs="Times New Roman"/>
                <w:sz w:val="20"/>
                <w:szCs w:val="20"/>
              </w:rPr>
              <w:t xml:space="preserve"> грн. через автоматичне округлення). </w:t>
            </w:r>
          </w:p>
          <w:p w14:paraId="0C38BF0C" w14:textId="77777777"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Строк виплати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з 16.05.2025 року по</w:t>
            </w:r>
            <w:r>
              <w:rPr>
                <w:rFonts w:ascii="Times New Roman" w:hAnsi="Times New Roman" w:cs="Times New Roman"/>
                <w:sz w:val="20"/>
                <w:szCs w:val="20"/>
              </w:rPr>
              <w:t xml:space="preserve"> 24.10.2025 року. </w:t>
            </w:r>
          </w:p>
          <w:p w14:paraId="7805DEC9" w14:textId="77777777" w:rsidR="00000000" w:rsidRDefault="00E8465A">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Спосiб</w:t>
            </w:r>
            <w:proofErr w:type="spellEnd"/>
            <w:r>
              <w:rPr>
                <w:rFonts w:ascii="Times New Roman" w:hAnsi="Times New Roman" w:cs="Times New Roman"/>
                <w:sz w:val="20"/>
                <w:szCs w:val="20"/>
              </w:rPr>
              <w:t xml:space="preserve"> виплати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 безпосередньо </w:t>
            </w:r>
            <w:proofErr w:type="spellStart"/>
            <w:r>
              <w:rPr>
                <w:rFonts w:ascii="Times New Roman" w:hAnsi="Times New Roman" w:cs="Times New Roman"/>
                <w:sz w:val="20"/>
                <w:szCs w:val="20"/>
              </w:rPr>
              <w:t>акцiонерам</w:t>
            </w:r>
            <w:proofErr w:type="spellEnd"/>
            <w:r>
              <w:rPr>
                <w:rFonts w:ascii="Times New Roman" w:hAnsi="Times New Roman" w:cs="Times New Roman"/>
                <w:sz w:val="20"/>
                <w:szCs w:val="20"/>
              </w:rPr>
              <w:t xml:space="preserve">. Порядок виплати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 виплата </w:t>
            </w:r>
            <w:proofErr w:type="spellStart"/>
            <w:r>
              <w:rPr>
                <w:rFonts w:ascii="Times New Roman" w:hAnsi="Times New Roman" w:cs="Times New Roman"/>
                <w:sz w:val="20"/>
                <w:szCs w:val="20"/>
              </w:rPr>
              <w:t>всiєї</w:t>
            </w:r>
            <w:proofErr w:type="spellEnd"/>
            <w:r>
              <w:rPr>
                <w:rFonts w:ascii="Times New Roman" w:hAnsi="Times New Roman" w:cs="Times New Roman"/>
                <w:sz w:val="20"/>
                <w:szCs w:val="20"/>
              </w:rPr>
              <w:t xml:space="preserve"> суми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в повному </w:t>
            </w:r>
            <w:proofErr w:type="spellStart"/>
            <w:r>
              <w:rPr>
                <w:rFonts w:ascii="Times New Roman" w:hAnsi="Times New Roman" w:cs="Times New Roman"/>
                <w:sz w:val="20"/>
                <w:szCs w:val="20"/>
              </w:rPr>
              <w:t>обсязi</w:t>
            </w:r>
            <w:proofErr w:type="spellEnd"/>
            <w:r>
              <w:rPr>
                <w:rFonts w:ascii="Times New Roman" w:hAnsi="Times New Roman" w:cs="Times New Roman"/>
                <w:sz w:val="20"/>
                <w:szCs w:val="20"/>
              </w:rPr>
              <w:t xml:space="preserve"> на </w:t>
            </w:r>
            <w:proofErr w:type="spellStart"/>
            <w:r>
              <w:rPr>
                <w:rFonts w:ascii="Times New Roman" w:hAnsi="Times New Roman" w:cs="Times New Roman"/>
                <w:sz w:val="20"/>
                <w:szCs w:val="20"/>
              </w:rPr>
              <w:t>банкiвськi</w:t>
            </w:r>
            <w:proofErr w:type="spellEnd"/>
            <w:r>
              <w:rPr>
                <w:rFonts w:ascii="Times New Roman" w:hAnsi="Times New Roman" w:cs="Times New Roman"/>
                <w:sz w:val="20"/>
                <w:szCs w:val="20"/>
              </w:rPr>
              <w:t xml:space="preserve"> рахунки </w:t>
            </w:r>
            <w:proofErr w:type="spellStart"/>
            <w:r>
              <w:rPr>
                <w:rFonts w:ascii="Times New Roman" w:hAnsi="Times New Roman" w:cs="Times New Roman"/>
                <w:sz w:val="20"/>
                <w:szCs w:val="20"/>
              </w:rPr>
              <w:t>всiм</w:t>
            </w:r>
            <w:proofErr w:type="spellEnd"/>
            <w:r>
              <w:rPr>
                <w:rFonts w:ascii="Times New Roman" w:hAnsi="Times New Roman" w:cs="Times New Roman"/>
                <w:sz w:val="20"/>
                <w:szCs w:val="20"/>
              </w:rPr>
              <w:t xml:space="preserve"> особам, що мають право на отримання </w:t>
            </w:r>
            <w:proofErr w:type="spellStart"/>
            <w:r>
              <w:rPr>
                <w:rFonts w:ascii="Times New Roman" w:hAnsi="Times New Roman" w:cs="Times New Roman"/>
                <w:sz w:val="20"/>
                <w:szCs w:val="20"/>
              </w:rPr>
              <w:t>дивiдендiв</w:t>
            </w:r>
            <w:proofErr w:type="spellEnd"/>
            <w:r>
              <w:rPr>
                <w:rFonts w:ascii="Times New Roman" w:hAnsi="Times New Roman" w:cs="Times New Roman"/>
                <w:sz w:val="20"/>
                <w:szCs w:val="20"/>
              </w:rPr>
              <w:t xml:space="preserve"> або шляхом поштових переказів на </w:t>
            </w:r>
            <w:r>
              <w:rPr>
                <w:rFonts w:ascii="Times New Roman" w:hAnsi="Times New Roman" w:cs="Times New Roman"/>
                <w:sz w:val="20"/>
                <w:szCs w:val="20"/>
              </w:rPr>
              <w:t>адреси акціонерів, зазначені в переліку осіб, які мають право на отримання дивідендів.</w:t>
            </w:r>
          </w:p>
        </w:tc>
      </w:tr>
    </w:tbl>
    <w:p w14:paraId="13BB4ECE" w14:textId="77777777" w:rsidR="00E8465A" w:rsidRDefault="00E8465A"/>
    <w:sectPr w:rsidR="00E8465A">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469D" w14:textId="77777777" w:rsidR="00E8465A" w:rsidRDefault="00E8465A">
      <w:pPr>
        <w:spacing w:after="0" w:line="240" w:lineRule="auto"/>
      </w:pPr>
      <w:r>
        <w:separator/>
      </w:r>
    </w:p>
  </w:endnote>
  <w:endnote w:type="continuationSeparator" w:id="0">
    <w:p w14:paraId="6B0A5815" w14:textId="77777777" w:rsidR="00E8465A" w:rsidRDefault="00E8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7726" w14:textId="77777777" w:rsidR="00000000" w:rsidRDefault="00E8465A">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5C45D0">
      <w:rPr>
        <w:rFonts w:ascii="Times New Roman" w:hAnsi="Times New Roman" w:cs="Times New Roman"/>
        <w:sz w:val="20"/>
        <w:szCs w:val="20"/>
        <w:lang w:val="ru-RU"/>
      </w:rPr>
      <w:fldChar w:fldCharType="separate"/>
    </w:r>
    <w:r w:rsidR="005C45D0">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E9F40" w14:textId="77777777" w:rsidR="00E8465A" w:rsidRDefault="00E8465A">
      <w:pPr>
        <w:spacing w:after="0" w:line="240" w:lineRule="auto"/>
      </w:pPr>
      <w:r>
        <w:separator/>
      </w:r>
    </w:p>
  </w:footnote>
  <w:footnote w:type="continuationSeparator" w:id="0">
    <w:p w14:paraId="19D3F327" w14:textId="77777777" w:rsidR="00E8465A" w:rsidRDefault="00E84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D0"/>
    <w:rsid w:val="005C45D0"/>
    <w:rsid w:val="00E846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0D5D1"/>
  <w14:defaultImageDpi w14:val="0"/>
  <w15:docId w15:val="{D9517571-C946-42D4-959C-4B73FCB0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2614</Words>
  <Characters>1491</Characters>
  <Application>Microsoft Office Word</Application>
  <DocSecurity>0</DocSecurity>
  <Lines>12</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2025-04-30T11:29:00Z</dcterms:created>
  <dcterms:modified xsi:type="dcterms:W3CDTF">2025-04-30T11:29:00Z</dcterms:modified>
</cp:coreProperties>
</file>