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ABD4"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0B0E9386"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C1DB3" w14:paraId="728F9898" w14:textId="77777777">
        <w:trPr>
          <w:trHeight w:val="300"/>
        </w:trPr>
        <w:tc>
          <w:tcPr>
            <w:tcW w:w="5230" w:type="dxa"/>
            <w:tcBorders>
              <w:top w:val="nil"/>
              <w:left w:val="nil"/>
              <w:bottom w:val="single" w:sz="6" w:space="0" w:color="auto"/>
              <w:right w:val="nil"/>
            </w:tcBorders>
            <w:vAlign w:val="bottom"/>
          </w:tcPr>
          <w:p w14:paraId="493E354D"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30.04.2025</w:t>
            </w:r>
          </w:p>
        </w:tc>
      </w:tr>
      <w:tr w:rsidR="009C1DB3" w14:paraId="25A51816"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09DE0651"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9C1DB3" w14:paraId="2AC6D542" w14:textId="77777777">
        <w:trPr>
          <w:trHeight w:val="300"/>
        </w:trPr>
        <w:tc>
          <w:tcPr>
            <w:tcW w:w="5230" w:type="dxa"/>
            <w:tcBorders>
              <w:top w:val="nil"/>
              <w:left w:val="nil"/>
              <w:bottom w:val="single" w:sz="6" w:space="0" w:color="auto"/>
              <w:right w:val="nil"/>
            </w:tcBorders>
            <w:vAlign w:val="bottom"/>
          </w:tcPr>
          <w:p w14:paraId="4999C27B"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C1DB3" w14:paraId="1A3D9EC1" w14:textId="77777777">
        <w:trPr>
          <w:trHeight w:val="300"/>
        </w:trPr>
        <w:tc>
          <w:tcPr>
            <w:tcW w:w="5230" w:type="dxa"/>
            <w:tcBorders>
              <w:top w:val="nil"/>
              <w:left w:val="nil"/>
              <w:bottom w:val="nil"/>
              <w:right w:val="nil"/>
            </w:tcBorders>
            <w:vAlign w:val="bottom"/>
          </w:tcPr>
          <w:p w14:paraId="28F00006"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49000AE9" w14:textId="77777777" w:rsidR="009C1DB3" w:rsidRDefault="009D3E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C1DB3" w14:paraId="5F29C9AB" w14:textId="77777777">
        <w:trPr>
          <w:trHeight w:val="300"/>
        </w:trPr>
        <w:tc>
          <w:tcPr>
            <w:tcW w:w="10465" w:type="dxa"/>
            <w:tcBorders>
              <w:top w:val="nil"/>
              <w:left w:val="nil"/>
              <w:bottom w:val="nil"/>
              <w:right w:val="nil"/>
            </w:tcBorders>
            <w:vAlign w:val="bottom"/>
          </w:tcPr>
          <w:p w14:paraId="21AF5A59"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12A8DF2" w14:textId="77777777" w:rsidR="009C1DB3" w:rsidRDefault="009C1DB3">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C1DB3" w14:paraId="56256D29" w14:textId="77777777">
        <w:trPr>
          <w:trHeight w:val="200"/>
        </w:trPr>
        <w:tc>
          <w:tcPr>
            <w:tcW w:w="3415" w:type="dxa"/>
            <w:tcBorders>
              <w:top w:val="nil"/>
              <w:left w:val="nil"/>
              <w:bottom w:val="single" w:sz="6" w:space="0" w:color="auto"/>
              <w:right w:val="nil"/>
            </w:tcBorders>
            <w:vAlign w:val="bottom"/>
          </w:tcPr>
          <w:p w14:paraId="38945B2D"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2E7A9428"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2F928EF6"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24833156"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58086C09"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Петришин </w:t>
            </w:r>
            <w:proofErr w:type="spellStart"/>
            <w:r>
              <w:rPr>
                <w:rFonts w:ascii="Times New Roman" w:hAnsi="Times New Roman" w:cs="Times New Roman"/>
                <w:sz w:val="24"/>
                <w:szCs w:val="24"/>
              </w:rPr>
              <w:t>Рослав</w:t>
            </w:r>
            <w:proofErr w:type="spellEnd"/>
            <w:r>
              <w:rPr>
                <w:rFonts w:ascii="Times New Roman" w:hAnsi="Times New Roman" w:cs="Times New Roman"/>
                <w:sz w:val="24"/>
                <w:szCs w:val="24"/>
              </w:rPr>
              <w:t xml:space="preserve"> Михайлович</w:t>
            </w:r>
          </w:p>
        </w:tc>
      </w:tr>
      <w:tr w:rsidR="009C1DB3" w14:paraId="0C7E6E2C" w14:textId="77777777">
        <w:trPr>
          <w:trHeight w:val="200"/>
        </w:trPr>
        <w:tc>
          <w:tcPr>
            <w:tcW w:w="3415" w:type="dxa"/>
            <w:tcBorders>
              <w:top w:val="nil"/>
              <w:left w:val="nil"/>
              <w:bottom w:val="nil"/>
              <w:right w:val="nil"/>
            </w:tcBorders>
          </w:tcPr>
          <w:p w14:paraId="74D99A34"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5AFDB4B3"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520A21F3"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69C548D5"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50880040"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14:paraId="69553612" w14:textId="77777777" w:rsidR="009C1DB3" w:rsidRDefault="009C1DB3">
      <w:pPr>
        <w:widowControl w:val="0"/>
        <w:autoSpaceDE w:val="0"/>
        <w:autoSpaceDN w:val="0"/>
        <w:adjustRightInd w:val="0"/>
        <w:spacing w:after="0" w:line="240" w:lineRule="auto"/>
        <w:rPr>
          <w:rFonts w:ascii="Times New Roman" w:hAnsi="Times New Roman" w:cs="Times New Roman"/>
          <w:sz w:val="20"/>
          <w:szCs w:val="20"/>
        </w:rPr>
      </w:pPr>
    </w:p>
    <w:p w14:paraId="05083133"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26543125" w14:textId="77777777" w:rsidR="009C1DB3" w:rsidRDefault="009C1DB3">
      <w:pPr>
        <w:widowControl w:val="0"/>
        <w:autoSpaceDE w:val="0"/>
        <w:autoSpaceDN w:val="0"/>
        <w:adjustRightInd w:val="0"/>
        <w:spacing w:after="0" w:line="240" w:lineRule="auto"/>
        <w:rPr>
          <w:rFonts w:ascii="Times New Roman" w:hAnsi="Times New Roman" w:cs="Times New Roman"/>
          <w:b/>
          <w:bCs/>
          <w:sz w:val="28"/>
          <w:szCs w:val="28"/>
        </w:rPr>
      </w:pPr>
    </w:p>
    <w:p w14:paraId="06EE1417"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768559F2" w14:textId="77777777" w:rsidR="009C1DB3" w:rsidRDefault="009D3E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w:t>
      </w:r>
      <w:proofErr w:type="spellStart"/>
      <w:r>
        <w:rPr>
          <w:rFonts w:ascii="Times New Roman" w:hAnsi="Times New Roman" w:cs="Times New Roman"/>
          <w:sz w:val="24"/>
          <w:szCs w:val="24"/>
        </w:rPr>
        <w:t>Сарнифармація</w:t>
      </w:r>
      <w:proofErr w:type="spellEnd"/>
      <w:r>
        <w:rPr>
          <w:rFonts w:ascii="Times New Roman" w:hAnsi="Times New Roman" w:cs="Times New Roman"/>
          <w:sz w:val="24"/>
          <w:szCs w:val="24"/>
        </w:rPr>
        <w:t>»</w:t>
      </w:r>
    </w:p>
    <w:p w14:paraId="74D87D77"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30523571"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Місцезнаходження: 34500, Рівненська обл., м. </w:t>
      </w:r>
      <w:proofErr w:type="spellStart"/>
      <w:r>
        <w:rPr>
          <w:rFonts w:ascii="Times New Roman" w:hAnsi="Times New Roman" w:cs="Times New Roman"/>
          <w:sz w:val="24"/>
          <w:szCs w:val="24"/>
        </w:rPr>
        <w:t>Сарни</w:t>
      </w:r>
      <w:proofErr w:type="spellEnd"/>
      <w:r>
        <w:rPr>
          <w:rFonts w:ascii="Times New Roman" w:hAnsi="Times New Roman" w:cs="Times New Roman"/>
          <w:sz w:val="24"/>
          <w:szCs w:val="24"/>
        </w:rPr>
        <w:t>, вул. Я. Мудрого, 5</w:t>
      </w:r>
    </w:p>
    <w:p w14:paraId="5CD90997"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01979256</w:t>
      </w:r>
    </w:p>
    <w:p w14:paraId="0D51C205"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(03655) 3-27-75</w:t>
      </w:r>
    </w:p>
    <w:p w14:paraId="148CFD54"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Адреса електронної пошти, яка є офіційним каналом зв’язку: sarnyfarm@ukr.net </w:t>
      </w:r>
    </w:p>
    <w:p w14:paraId="7FDF4C3D"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347CC05D"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30EC8188" w14:textId="77777777" w:rsidR="009C1DB3" w:rsidRDefault="009C1DB3">
      <w:pPr>
        <w:widowControl w:val="0"/>
        <w:autoSpaceDE w:val="0"/>
        <w:autoSpaceDN w:val="0"/>
        <w:adjustRightInd w:val="0"/>
        <w:spacing w:after="0" w:line="240" w:lineRule="auto"/>
        <w:rPr>
          <w:rFonts w:ascii="Times New Roman" w:hAnsi="Times New Roman" w:cs="Times New Roman"/>
          <w:sz w:val="24"/>
          <w:szCs w:val="24"/>
        </w:rPr>
      </w:pPr>
    </w:p>
    <w:p w14:paraId="7C321EC3"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14:paraId="29D30F4F" w14:textId="77777777" w:rsidR="009C1DB3" w:rsidRDefault="009C1DB3">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C1DB3" w14:paraId="3969B878" w14:textId="77777777">
        <w:trPr>
          <w:trHeight w:val="300"/>
        </w:trPr>
        <w:tc>
          <w:tcPr>
            <w:tcW w:w="3415" w:type="dxa"/>
            <w:vMerge w:val="restart"/>
            <w:tcBorders>
              <w:top w:val="nil"/>
              <w:left w:val="nil"/>
              <w:bottom w:val="nil"/>
              <w:right w:val="nil"/>
            </w:tcBorders>
          </w:tcPr>
          <w:p w14:paraId="20FF15E7" w14:textId="77777777" w:rsidR="009C1DB3" w:rsidRDefault="009D3E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розміщена на власному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емітента</w:t>
            </w:r>
          </w:p>
        </w:tc>
        <w:tc>
          <w:tcPr>
            <w:tcW w:w="5165" w:type="dxa"/>
            <w:tcBorders>
              <w:top w:val="nil"/>
              <w:left w:val="nil"/>
              <w:bottom w:val="single" w:sz="6" w:space="0" w:color="auto"/>
              <w:right w:val="nil"/>
            </w:tcBorders>
            <w:vAlign w:val="bottom"/>
          </w:tcPr>
          <w:p w14:paraId="74F80E57"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http://sarnyfarmaciya.pat.ua/documents/informaciya-dlya-akcioneriv-ta-steikholderiv</w:t>
            </w:r>
          </w:p>
        </w:tc>
        <w:tc>
          <w:tcPr>
            <w:tcW w:w="1885" w:type="dxa"/>
            <w:tcBorders>
              <w:top w:val="nil"/>
              <w:left w:val="nil"/>
              <w:bottom w:val="single" w:sz="6" w:space="0" w:color="auto"/>
              <w:right w:val="nil"/>
            </w:tcBorders>
            <w:vAlign w:val="bottom"/>
          </w:tcPr>
          <w:p w14:paraId="6B4B0E1F"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30.04.2025</w:t>
            </w:r>
          </w:p>
        </w:tc>
      </w:tr>
      <w:tr w:rsidR="009C1DB3" w14:paraId="569DE55E" w14:textId="77777777">
        <w:trPr>
          <w:trHeight w:val="300"/>
        </w:trPr>
        <w:tc>
          <w:tcPr>
            <w:tcW w:w="3415" w:type="dxa"/>
            <w:vMerge/>
            <w:tcBorders>
              <w:top w:val="nil"/>
              <w:left w:val="nil"/>
              <w:bottom w:val="nil"/>
              <w:right w:val="nil"/>
            </w:tcBorders>
          </w:tcPr>
          <w:p w14:paraId="27D69B27" w14:textId="77777777" w:rsidR="009C1DB3" w:rsidRDefault="009C1DB3">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6F0AEC8D"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w:t>
            </w:r>
          </w:p>
        </w:tc>
        <w:tc>
          <w:tcPr>
            <w:tcW w:w="1885" w:type="dxa"/>
            <w:tcBorders>
              <w:top w:val="nil"/>
              <w:left w:val="nil"/>
              <w:bottom w:val="nil"/>
              <w:right w:val="nil"/>
            </w:tcBorders>
            <w:vAlign w:val="bottom"/>
          </w:tcPr>
          <w:p w14:paraId="1121BEB5"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02752929" w14:textId="77777777" w:rsidR="009C1DB3" w:rsidRDefault="009C1DB3">
      <w:pPr>
        <w:widowControl w:val="0"/>
        <w:autoSpaceDE w:val="0"/>
        <w:autoSpaceDN w:val="0"/>
        <w:adjustRightInd w:val="0"/>
        <w:spacing w:after="0" w:line="240" w:lineRule="auto"/>
        <w:rPr>
          <w:rFonts w:ascii="Times New Roman" w:hAnsi="Times New Roman" w:cs="Times New Roman"/>
          <w:sz w:val="20"/>
          <w:szCs w:val="20"/>
        </w:rPr>
        <w:sectPr w:rsidR="009C1DB3">
          <w:footerReference w:type="default" r:id="rId6"/>
          <w:pgSz w:w="11905" w:h="16837"/>
          <w:pgMar w:top="570" w:right="720" w:bottom="570" w:left="720" w:header="708" w:footer="360" w:gutter="0"/>
          <w:pgNumType w:start="1"/>
          <w:cols w:space="720"/>
          <w:noEndnote/>
        </w:sectPr>
      </w:pPr>
    </w:p>
    <w:p w14:paraId="63B8AD7C"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3EE4529A"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14:paraId="5841C5A5" w14:textId="77777777" w:rsidR="009C1DB3" w:rsidRDefault="009C1DB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9C1DB3" w14:paraId="4F95C7DB" w14:textId="77777777">
        <w:trPr>
          <w:trHeight w:val="300"/>
        </w:trPr>
        <w:tc>
          <w:tcPr>
            <w:tcW w:w="500" w:type="dxa"/>
            <w:tcBorders>
              <w:top w:val="single" w:sz="6" w:space="0" w:color="auto"/>
              <w:bottom w:val="single" w:sz="6" w:space="0" w:color="auto"/>
              <w:right w:val="single" w:sz="6" w:space="0" w:color="auto"/>
            </w:tcBorders>
            <w:vAlign w:val="center"/>
          </w:tcPr>
          <w:p w14:paraId="6E4833C3"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62F6C476"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2FDBD030"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Гранична сукупна вартість правочинів, </w:t>
            </w:r>
            <w:proofErr w:type="spellStart"/>
            <w:r>
              <w:rPr>
                <w:rFonts w:ascii="Times New Roman" w:hAnsi="Times New Roman" w:cs="Times New Roman"/>
                <w:b/>
                <w:bCs/>
                <w:sz w:val="20"/>
                <w:szCs w:val="20"/>
              </w:rPr>
              <w:t>тис.грн</w:t>
            </w:r>
            <w:proofErr w:type="spellEnd"/>
          </w:p>
        </w:tc>
        <w:tc>
          <w:tcPr>
            <w:tcW w:w="2500" w:type="dxa"/>
            <w:tcBorders>
              <w:top w:val="single" w:sz="6" w:space="0" w:color="auto"/>
              <w:left w:val="single" w:sz="6" w:space="0" w:color="auto"/>
              <w:bottom w:val="single" w:sz="6" w:space="0" w:color="auto"/>
              <w:right w:val="single" w:sz="6" w:space="0" w:color="auto"/>
            </w:tcBorders>
            <w:vAlign w:val="center"/>
          </w:tcPr>
          <w:p w14:paraId="1ECE9BCE" w14:textId="77777777" w:rsidR="009C1DB3" w:rsidRDefault="009D3EA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Вартість активів емітента за даними останньої річної фінансової звітності, </w:t>
            </w:r>
            <w:proofErr w:type="spellStart"/>
            <w:r>
              <w:rPr>
                <w:rFonts w:ascii="Times New Roman" w:hAnsi="Times New Roman" w:cs="Times New Roman"/>
                <w:b/>
                <w:bCs/>
                <w:sz w:val="20"/>
                <w:szCs w:val="20"/>
              </w:rPr>
              <w:t>тис.грн</w:t>
            </w:r>
            <w:proofErr w:type="spellEnd"/>
          </w:p>
        </w:tc>
        <w:tc>
          <w:tcPr>
            <w:tcW w:w="3665" w:type="dxa"/>
            <w:tcBorders>
              <w:top w:val="single" w:sz="6" w:space="0" w:color="auto"/>
              <w:left w:val="single" w:sz="6" w:space="0" w:color="auto"/>
              <w:bottom w:val="single" w:sz="6" w:space="0" w:color="auto"/>
            </w:tcBorders>
            <w:vAlign w:val="center"/>
          </w:tcPr>
          <w:p w14:paraId="773BE38E"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9C1DB3" w14:paraId="60379CA9" w14:textId="77777777">
        <w:trPr>
          <w:trHeight w:val="300"/>
        </w:trPr>
        <w:tc>
          <w:tcPr>
            <w:tcW w:w="500" w:type="dxa"/>
            <w:tcBorders>
              <w:top w:val="single" w:sz="6" w:space="0" w:color="auto"/>
              <w:bottom w:val="single" w:sz="6" w:space="0" w:color="auto"/>
              <w:right w:val="single" w:sz="6" w:space="0" w:color="auto"/>
            </w:tcBorders>
            <w:vAlign w:val="center"/>
          </w:tcPr>
          <w:p w14:paraId="4020ED68"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4A40883F"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28B7AE15"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299E2343"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14:paraId="32BB8DB1"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C1DB3" w14:paraId="16318406" w14:textId="77777777">
        <w:trPr>
          <w:trHeight w:val="300"/>
        </w:trPr>
        <w:tc>
          <w:tcPr>
            <w:tcW w:w="500" w:type="dxa"/>
            <w:tcBorders>
              <w:top w:val="single" w:sz="6" w:space="0" w:color="auto"/>
              <w:bottom w:val="single" w:sz="6" w:space="0" w:color="auto"/>
              <w:right w:val="single" w:sz="6" w:space="0" w:color="auto"/>
            </w:tcBorders>
          </w:tcPr>
          <w:p w14:paraId="5081E5AC"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2254CF01"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2500" w:type="dxa"/>
            <w:tcBorders>
              <w:top w:val="single" w:sz="6" w:space="0" w:color="auto"/>
              <w:left w:val="single" w:sz="6" w:space="0" w:color="auto"/>
              <w:bottom w:val="single" w:sz="6" w:space="0" w:color="auto"/>
              <w:right w:val="single" w:sz="6" w:space="0" w:color="auto"/>
            </w:tcBorders>
          </w:tcPr>
          <w:p w14:paraId="2A9612D6"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35 000</w:t>
            </w:r>
          </w:p>
        </w:tc>
        <w:tc>
          <w:tcPr>
            <w:tcW w:w="2500" w:type="dxa"/>
            <w:tcBorders>
              <w:top w:val="single" w:sz="6" w:space="0" w:color="auto"/>
              <w:left w:val="single" w:sz="6" w:space="0" w:color="auto"/>
              <w:bottom w:val="single" w:sz="6" w:space="0" w:color="auto"/>
              <w:right w:val="single" w:sz="6" w:space="0" w:color="auto"/>
            </w:tcBorders>
          </w:tcPr>
          <w:p w14:paraId="5A5D5B6E"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5 516</w:t>
            </w:r>
          </w:p>
        </w:tc>
        <w:tc>
          <w:tcPr>
            <w:tcW w:w="3665" w:type="dxa"/>
            <w:tcBorders>
              <w:top w:val="single" w:sz="6" w:space="0" w:color="auto"/>
              <w:left w:val="single" w:sz="6" w:space="0" w:color="auto"/>
              <w:bottom w:val="single" w:sz="6" w:space="0" w:color="auto"/>
            </w:tcBorders>
          </w:tcPr>
          <w:p w14:paraId="4A8973EF" w14:textId="77777777" w:rsidR="009C1DB3" w:rsidRDefault="009D3EA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634,5177664975</w:t>
            </w:r>
          </w:p>
        </w:tc>
      </w:tr>
      <w:tr w:rsidR="009C1DB3" w14:paraId="6CCAA48F" w14:textId="77777777">
        <w:trPr>
          <w:trHeight w:val="300"/>
        </w:trPr>
        <w:tc>
          <w:tcPr>
            <w:tcW w:w="10465" w:type="dxa"/>
            <w:gridSpan w:val="5"/>
            <w:tcBorders>
              <w:top w:val="single" w:sz="6" w:space="0" w:color="auto"/>
              <w:bottom w:val="single" w:sz="6" w:space="0" w:color="auto"/>
            </w:tcBorders>
            <w:vAlign w:val="center"/>
          </w:tcPr>
          <w:p w14:paraId="04A298C0" w14:textId="77777777" w:rsidR="009C1DB3" w:rsidRDefault="009D3EAA">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9C1DB3" w14:paraId="759B9DF6" w14:textId="77777777">
        <w:trPr>
          <w:trHeight w:val="300"/>
        </w:trPr>
        <w:tc>
          <w:tcPr>
            <w:tcW w:w="10465" w:type="dxa"/>
            <w:gridSpan w:val="5"/>
            <w:tcBorders>
              <w:top w:val="single" w:sz="6" w:space="0" w:color="auto"/>
              <w:bottom w:val="single" w:sz="6" w:space="0" w:color="auto"/>
            </w:tcBorders>
            <w:vAlign w:val="center"/>
          </w:tcPr>
          <w:p w14:paraId="35180599" w14:textId="7B19310A" w:rsidR="009C1DB3" w:rsidRDefault="009D3EA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30.04.2025 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(надалі -Товариство) отримало від ПАТ "НДУ" результати голосування на дистанційних загальних зборах акціонерів, на підставі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25.04.2025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25.04.2025 р. Загальними зборами акціонерів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25.04.2025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попередн</w:t>
            </w:r>
            <w:r w:rsidR="002B7B26">
              <w:rPr>
                <w:rFonts w:ascii="Times New Roman" w:hAnsi="Times New Roman" w:cs="Times New Roman"/>
                <w:sz w:val="20"/>
                <w:szCs w:val="20"/>
              </w:rPr>
              <w:t>є</w:t>
            </w:r>
            <w:r>
              <w:rPr>
                <w:rFonts w:ascii="Times New Roman" w:hAnsi="Times New Roman" w:cs="Times New Roman"/>
                <w:sz w:val="20"/>
                <w:szCs w:val="20"/>
              </w:rPr>
              <w:t xml:space="preserve"> надання згоди на вчинення значних </w:t>
            </w:r>
            <w:proofErr w:type="spellStart"/>
            <w:r>
              <w:rPr>
                <w:rFonts w:ascii="Times New Roman" w:hAnsi="Times New Roman" w:cs="Times New Roman"/>
                <w:sz w:val="20"/>
                <w:szCs w:val="20"/>
              </w:rPr>
              <w:t>правочинiв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Вирiшено</w:t>
            </w:r>
            <w:proofErr w:type="spellEnd"/>
            <w:r>
              <w:rPr>
                <w:rFonts w:ascii="Times New Roman" w:hAnsi="Times New Roman" w:cs="Times New Roman"/>
                <w:sz w:val="20"/>
                <w:szCs w:val="20"/>
              </w:rPr>
              <w:t xml:space="preserve"> протягом не </w:t>
            </w:r>
            <w:proofErr w:type="spellStart"/>
            <w:r>
              <w:rPr>
                <w:rFonts w:ascii="Times New Roman" w:hAnsi="Times New Roman" w:cs="Times New Roman"/>
                <w:sz w:val="20"/>
                <w:szCs w:val="20"/>
              </w:rPr>
              <w:t>бiльше</w:t>
            </w:r>
            <w:proofErr w:type="spellEnd"/>
            <w:r>
              <w:rPr>
                <w:rFonts w:ascii="Times New Roman" w:hAnsi="Times New Roman" w:cs="Times New Roman"/>
                <w:sz w:val="20"/>
                <w:szCs w:val="20"/>
              </w:rPr>
              <w:t xml:space="preserve">, як одного року з дати прийняття цього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надати повноваження директору укладати та </w:t>
            </w:r>
            <w:proofErr w:type="spellStart"/>
            <w:r>
              <w:rPr>
                <w:rFonts w:ascii="Times New Roman" w:hAnsi="Times New Roman" w:cs="Times New Roman"/>
                <w:sz w:val="20"/>
                <w:szCs w:val="20"/>
              </w:rPr>
              <w:t>пiдписувати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значнi</w:t>
            </w:r>
            <w:proofErr w:type="spellEnd"/>
            <w:r>
              <w:rPr>
                <w:rFonts w:ascii="Times New Roman" w:hAnsi="Times New Roman" w:cs="Times New Roman"/>
                <w:sz w:val="20"/>
                <w:szCs w:val="20"/>
              </w:rPr>
              <w:t xml:space="preserve"> правочини гранична сукупна </w:t>
            </w:r>
            <w:proofErr w:type="spellStart"/>
            <w:r>
              <w:rPr>
                <w:rFonts w:ascii="Times New Roman" w:hAnsi="Times New Roman" w:cs="Times New Roman"/>
                <w:sz w:val="20"/>
                <w:szCs w:val="20"/>
              </w:rPr>
              <w:t>вартiсть</w:t>
            </w:r>
            <w:proofErr w:type="spellEnd"/>
            <w:r>
              <w:rPr>
                <w:rFonts w:ascii="Times New Roman" w:hAnsi="Times New Roman" w:cs="Times New Roman"/>
                <w:sz w:val="20"/>
                <w:szCs w:val="20"/>
              </w:rPr>
              <w:t xml:space="preserve"> яких не перевищує 35 000,0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 xml:space="preserve">. Характер </w:t>
            </w:r>
            <w:proofErr w:type="spellStart"/>
            <w:r>
              <w:rPr>
                <w:rFonts w:ascii="Times New Roman" w:hAnsi="Times New Roman" w:cs="Times New Roman"/>
                <w:sz w:val="20"/>
                <w:szCs w:val="20"/>
              </w:rPr>
              <w:t>правочинiв</w:t>
            </w:r>
            <w:proofErr w:type="spellEnd"/>
            <w:r>
              <w:rPr>
                <w:rFonts w:ascii="Times New Roman" w:hAnsi="Times New Roman" w:cs="Times New Roman"/>
                <w:sz w:val="20"/>
                <w:szCs w:val="20"/>
              </w:rPr>
              <w:t xml:space="preserve"> наступний: договори поставки, купівлі-продажу, оренди, </w:t>
            </w:r>
            <w:proofErr w:type="spellStart"/>
            <w:r>
              <w:rPr>
                <w:rFonts w:ascii="Times New Roman" w:hAnsi="Times New Roman" w:cs="Times New Roman"/>
                <w:sz w:val="20"/>
                <w:szCs w:val="20"/>
              </w:rPr>
              <w:t>підряду</w:t>
            </w:r>
            <w:proofErr w:type="spellEnd"/>
            <w:r>
              <w:rPr>
                <w:rFonts w:ascii="Times New Roman" w:hAnsi="Times New Roman" w:cs="Times New Roman"/>
                <w:sz w:val="20"/>
                <w:szCs w:val="20"/>
              </w:rPr>
              <w:t xml:space="preserve">, надання послуг, кредитні договори, договори позики, договори застави (іпотеки) майна Товариства, договори поруки, договори майнової поруки (в тому числі майном Товариства), договори гарантії, в тому числі банківської гарантії, договори факторингу, договори уступки прав вимоги (цесії) і переведення боргу, договори іпотеки (в тому числі стосовно нерухомого майна Товариства). Гранична сукупна </w:t>
            </w:r>
            <w:proofErr w:type="spellStart"/>
            <w:r>
              <w:rPr>
                <w:rFonts w:ascii="Times New Roman" w:hAnsi="Times New Roman" w:cs="Times New Roman"/>
                <w:sz w:val="20"/>
                <w:szCs w:val="20"/>
              </w:rPr>
              <w:t>вартiсть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правочинiв</w:t>
            </w:r>
            <w:proofErr w:type="spellEnd"/>
            <w:r>
              <w:rPr>
                <w:rFonts w:ascii="Times New Roman" w:hAnsi="Times New Roman" w:cs="Times New Roman"/>
                <w:sz w:val="20"/>
                <w:szCs w:val="20"/>
              </w:rPr>
              <w:t xml:space="preserve"> складає 35 000,0 тис. грн. </w:t>
            </w:r>
            <w:proofErr w:type="spellStart"/>
            <w:r>
              <w:rPr>
                <w:rFonts w:ascii="Times New Roman" w:hAnsi="Times New Roman" w:cs="Times New Roman"/>
                <w:sz w:val="20"/>
                <w:szCs w:val="20"/>
              </w:rPr>
              <w:t>Вартiсть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активiв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за даними останньої </w:t>
            </w:r>
            <w:proofErr w:type="spellStart"/>
            <w:r>
              <w:rPr>
                <w:rFonts w:ascii="Times New Roman" w:hAnsi="Times New Roman" w:cs="Times New Roman"/>
                <w:sz w:val="20"/>
                <w:szCs w:val="20"/>
              </w:rPr>
              <w:t>рiчної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фiнансової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звiтностi</w:t>
            </w:r>
            <w:proofErr w:type="spellEnd"/>
            <w:r>
              <w:rPr>
                <w:rFonts w:ascii="Times New Roman" w:hAnsi="Times New Roman" w:cs="Times New Roman"/>
                <w:sz w:val="20"/>
                <w:szCs w:val="20"/>
              </w:rPr>
              <w:t xml:space="preserve"> становить 5516 тис. грн. </w:t>
            </w:r>
            <w:proofErr w:type="spellStart"/>
            <w:r>
              <w:rPr>
                <w:rFonts w:ascii="Times New Roman" w:hAnsi="Times New Roman" w:cs="Times New Roman"/>
                <w:sz w:val="20"/>
                <w:szCs w:val="20"/>
              </w:rPr>
              <w:t>Спiввiдношення</w:t>
            </w:r>
            <w:proofErr w:type="spellEnd"/>
            <w:r>
              <w:rPr>
                <w:rFonts w:ascii="Times New Roman" w:hAnsi="Times New Roman" w:cs="Times New Roman"/>
                <w:sz w:val="20"/>
                <w:szCs w:val="20"/>
              </w:rPr>
              <w:t xml:space="preserve"> граничної сукупної </w:t>
            </w:r>
            <w:proofErr w:type="spellStart"/>
            <w:r>
              <w:rPr>
                <w:rFonts w:ascii="Times New Roman" w:hAnsi="Times New Roman" w:cs="Times New Roman"/>
                <w:sz w:val="20"/>
                <w:szCs w:val="20"/>
              </w:rPr>
              <w:t>вартостi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правочинiв</w:t>
            </w:r>
            <w:proofErr w:type="spellEnd"/>
            <w:r>
              <w:rPr>
                <w:rFonts w:ascii="Times New Roman" w:hAnsi="Times New Roman" w:cs="Times New Roman"/>
                <w:sz w:val="20"/>
                <w:szCs w:val="20"/>
              </w:rPr>
              <w:t xml:space="preserve"> до </w:t>
            </w:r>
            <w:proofErr w:type="spellStart"/>
            <w:r>
              <w:rPr>
                <w:rFonts w:ascii="Times New Roman" w:hAnsi="Times New Roman" w:cs="Times New Roman"/>
                <w:sz w:val="20"/>
                <w:szCs w:val="20"/>
              </w:rPr>
              <w:t>вартостi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активiв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за даними останньої </w:t>
            </w:r>
            <w:proofErr w:type="spellStart"/>
            <w:r>
              <w:rPr>
                <w:rFonts w:ascii="Times New Roman" w:hAnsi="Times New Roman" w:cs="Times New Roman"/>
                <w:sz w:val="20"/>
                <w:szCs w:val="20"/>
              </w:rPr>
              <w:t>рiчної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фiнансової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звiтностi</w:t>
            </w:r>
            <w:proofErr w:type="spellEnd"/>
            <w:r>
              <w:rPr>
                <w:rFonts w:ascii="Times New Roman" w:hAnsi="Times New Roman" w:cs="Times New Roman"/>
                <w:sz w:val="20"/>
                <w:szCs w:val="20"/>
              </w:rPr>
              <w:t xml:space="preserve"> становить 634,518%. Загальна </w:t>
            </w:r>
            <w:proofErr w:type="spellStart"/>
            <w:r>
              <w:rPr>
                <w:rFonts w:ascii="Times New Roman" w:hAnsi="Times New Roman" w:cs="Times New Roman"/>
                <w:sz w:val="20"/>
                <w:szCs w:val="20"/>
              </w:rPr>
              <w:t>кiлькiсть</w:t>
            </w:r>
            <w:proofErr w:type="spellEnd"/>
            <w:r>
              <w:rPr>
                <w:rFonts w:ascii="Times New Roman" w:hAnsi="Times New Roman" w:cs="Times New Roman"/>
                <w:sz w:val="20"/>
                <w:szCs w:val="20"/>
              </w:rPr>
              <w:t xml:space="preserve"> голосуючих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- 660 109  шт. </w:t>
            </w:r>
            <w:proofErr w:type="spellStart"/>
            <w:r>
              <w:rPr>
                <w:rFonts w:ascii="Times New Roman" w:hAnsi="Times New Roman" w:cs="Times New Roman"/>
                <w:sz w:val="20"/>
                <w:szCs w:val="20"/>
              </w:rPr>
              <w:t>Кiлькiсть</w:t>
            </w:r>
            <w:proofErr w:type="spellEnd"/>
            <w:r>
              <w:rPr>
                <w:rFonts w:ascii="Times New Roman" w:hAnsi="Times New Roman" w:cs="Times New Roman"/>
                <w:sz w:val="20"/>
                <w:szCs w:val="20"/>
              </w:rPr>
              <w:t xml:space="preserve"> голосуючих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що зареєструвалися для </w:t>
            </w:r>
            <w:proofErr w:type="spellStart"/>
            <w:r>
              <w:rPr>
                <w:rFonts w:ascii="Times New Roman" w:hAnsi="Times New Roman" w:cs="Times New Roman"/>
                <w:sz w:val="20"/>
                <w:szCs w:val="20"/>
              </w:rPr>
              <w:t>участi</w:t>
            </w:r>
            <w:proofErr w:type="spellEnd"/>
            <w:r>
              <w:rPr>
                <w:rFonts w:ascii="Times New Roman" w:hAnsi="Times New Roman" w:cs="Times New Roman"/>
                <w:sz w:val="20"/>
                <w:szCs w:val="20"/>
              </w:rPr>
              <w:t xml:space="preserve"> у загальних зборах: 646 732  шт. </w:t>
            </w:r>
            <w:proofErr w:type="spellStart"/>
            <w:r>
              <w:rPr>
                <w:rFonts w:ascii="Times New Roman" w:hAnsi="Times New Roman" w:cs="Times New Roman"/>
                <w:sz w:val="20"/>
                <w:szCs w:val="20"/>
              </w:rPr>
              <w:t>Кiлькiсть</w:t>
            </w:r>
            <w:proofErr w:type="spellEnd"/>
            <w:r>
              <w:rPr>
                <w:rFonts w:ascii="Times New Roman" w:hAnsi="Times New Roman" w:cs="Times New Roman"/>
                <w:sz w:val="20"/>
                <w:szCs w:val="20"/>
              </w:rPr>
              <w:t xml:space="preserve"> голосуючих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що проголосували "за"  прийняття рішення: 646 732  шт. Кількість голосуючих акцій, що проголосували "проти" прийняття рішення: 0 шт.</w:t>
            </w:r>
          </w:p>
        </w:tc>
      </w:tr>
    </w:tbl>
    <w:p w14:paraId="6E07EF55" w14:textId="77777777" w:rsidR="009D3EAA" w:rsidRDefault="009D3EAA"/>
    <w:sectPr w:rsidR="009D3EAA">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582B" w14:textId="77777777" w:rsidR="00541D1A" w:rsidRDefault="00541D1A">
      <w:pPr>
        <w:spacing w:after="0" w:line="240" w:lineRule="auto"/>
      </w:pPr>
      <w:r>
        <w:separator/>
      </w:r>
    </w:p>
  </w:endnote>
  <w:endnote w:type="continuationSeparator" w:id="0">
    <w:p w14:paraId="2618EC4A" w14:textId="77777777" w:rsidR="00541D1A" w:rsidRDefault="0054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2468" w14:textId="77777777" w:rsidR="009C1DB3" w:rsidRDefault="009D3EAA">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942A78">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8B1A" w14:textId="77777777" w:rsidR="00541D1A" w:rsidRDefault="00541D1A">
      <w:pPr>
        <w:spacing w:after="0" w:line="240" w:lineRule="auto"/>
      </w:pPr>
      <w:r>
        <w:separator/>
      </w:r>
    </w:p>
  </w:footnote>
  <w:footnote w:type="continuationSeparator" w:id="0">
    <w:p w14:paraId="1944F439" w14:textId="77777777" w:rsidR="00541D1A" w:rsidRDefault="00541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78"/>
    <w:rsid w:val="002B7B26"/>
    <w:rsid w:val="00541D1A"/>
    <w:rsid w:val="00942A78"/>
    <w:rsid w:val="009C1DB3"/>
    <w:rsid w:val="009D3E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61B70"/>
  <w14:defaultImageDpi w14:val="0"/>
  <w15:docId w15:val="{D9517571-C946-42D4-959C-4B73FCB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2886</Words>
  <Characters>1646</Characters>
  <Application>Microsoft Office Word</Application>
  <DocSecurity>0</DocSecurity>
  <Lines>13</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2025-04-30T11:19:00Z</dcterms:created>
  <dcterms:modified xsi:type="dcterms:W3CDTF">2025-04-30T12:22:00Z</dcterms:modified>
</cp:coreProperties>
</file>